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B" w:rsidRPr="00316DB3" w:rsidRDefault="00316DB3" w:rsidP="008802F5">
      <w:pPr>
        <w:pStyle w:val="Default"/>
        <w:jc w:val="center"/>
        <w:rPr>
          <w:rFonts w:ascii="Times New Roman" w:hAnsi="Times New Roman" w:cs="Times New Roman"/>
          <w:sz w:val="32"/>
        </w:rPr>
      </w:pPr>
      <w:r w:rsidRPr="00316DB3">
        <w:rPr>
          <w:rFonts w:ascii="Times New Roman" w:hAnsi="Times New Roman" w:cs="Times New Roman"/>
          <w:sz w:val="32"/>
        </w:rPr>
        <w:t>DEEPAK INDUSTRIES LIMITED</w:t>
      </w:r>
    </w:p>
    <w:p w:rsidR="00B05E45" w:rsidRDefault="00B05E45" w:rsidP="008802F5">
      <w:pPr>
        <w:pStyle w:val="Default"/>
        <w:jc w:val="center"/>
        <w:rPr>
          <w:rFonts w:ascii="Times New Roman" w:hAnsi="Times New Roman" w:cs="Times New Roman"/>
        </w:rPr>
      </w:pPr>
      <w:r>
        <w:rPr>
          <w:rFonts w:ascii="Times New Roman" w:hAnsi="Times New Roman" w:cs="Times New Roman"/>
        </w:rPr>
        <w:t>CIN No.L63022WB1954PLC021638</w:t>
      </w:r>
    </w:p>
    <w:p w:rsidR="008802F5" w:rsidRDefault="008802F5" w:rsidP="008802F5">
      <w:pPr>
        <w:pStyle w:val="Default"/>
        <w:jc w:val="center"/>
        <w:rPr>
          <w:rFonts w:ascii="Times New Roman" w:hAnsi="Times New Roman" w:cs="Times New Roman"/>
        </w:rPr>
      </w:pPr>
    </w:p>
    <w:p w:rsidR="00B05E45" w:rsidRPr="00B05E45" w:rsidRDefault="001A1D8E" w:rsidP="008802F5">
      <w:pPr>
        <w:pStyle w:val="Default"/>
        <w:jc w:val="center"/>
        <w:rPr>
          <w:rFonts w:ascii="Times New Roman" w:hAnsi="Times New Roman" w:cs="Times New Roman"/>
        </w:rPr>
      </w:pPr>
      <w:r>
        <w:rPr>
          <w:rFonts w:ascii="Times New Roman" w:hAnsi="Times New Roman" w:cs="Times New Roman"/>
        </w:rPr>
        <w:t>FAMILARISATION PROGRAMME FOR INDEPENDENT DIRECTORS</w:t>
      </w:r>
    </w:p>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rPr>
        <w:t xml:space="preserve"> </w:t>
      </w:r>
    </w:p>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b/>
          <w:bCs/>
        </w:rPr>
        <w:t xml:space="preserve">Preamble: </w:t>
      </w:r>
    </w:p>
    <w:p w:rsidR="0004304B" w:rsidRDefault="0004304B" w:rsidP="008802F5">
      <w:pPr>
        <w:pStyle w:val="Default"/>
        <w:jc w:val="both"/>
        <w:rPr>
          <w:rFonts w:ascii="Times New Roman" w:hAnsi="Times New Roman" w:cs="Times New Roman"/>
        </w:rPr>
      </w:pPr>
      <w:r w:rsidRPr="00B05E45">
        <w:rPr>
          <w:rFonts w:ascii="Times New Roman" w:hAnsi="Times New Roman" w:cs="Times New Roman"/>
        </w:rPr>
        <w:t>The Clause 49(II</w:t>
      </w:r>
      <w:proofErr w:type="gramStart"/>
      <w:r w:rsidRPr="00B05E45">
        <w:rPr>
          <w:rFonts w:ascii="Times New Roman" w:hAnsi="Times New Roman" w:cs="Times New Roman"/>
        </w:rPr>
        <w:t>)(</w:t>
      </w:r>
      <w:proofErr w:type="gramEnd"/>
      <w:r w:rsidRPr="00B05E45">
        <w:rPr>
          <w:rFonts w:ascii="Times New Roman" w:hAnsi="Times New Roman" w:cs="Times New Roman"/>
        </w:rPr>
        <w:t xml:space="preserve">B)(7) of the Listing Agreement (effective from October 1, 2014) with the Stock Exchanges stipulates that: </w:t>
      </w:r>
    </w:p>
    <w:p w:rsidR="00316DB3" w:rsidRPr="00B05E45" w:rsidRDefault="00316DB3" w:rsidP="008802F5">
      <w:pPr>
        <w:pStyle w:val="Default"/>
        <w:jc w:val="both"/>
        <w:rPr>
          <w:rFonts w:ascii="Times New Roman" w:hAnsi="Times New Roman" w:cs="Times New Roman"/>
        </w:rPr>
      </w:pPr>
    </w:p>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rPr>
        <w:t xml:space="preserve">a) The Company shall familiarize the Independent Directors with the Company, their roles, rights, responsibilities in the Company, nature of the industry in which the Company operates, business model of the Company, etc., at meetings of otherwise. </w:t>
      </w:r>
    </w:p>
    <w:p w:rsidR="0004304B" w:rsidRPr="00B05E45" w:rsidRDefault="0004304B" w:rsidP="008802F5">
      <w:pPr>
        <w:pStyle w:val="Default"/>
        <w:jc w:val="both"/>
        <w:rPr>
          <w:rFonts w:ascii="Times New Roman" w:hAnsi="Times New Roman" w:cs="Times New Roman"/>
        </w:rPr>
      </w:pPr>
    </w:p>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rPr>
        <w:t xml:space="preserve">b) The details of such familiarization programmes shall be disclosed on the Company’s website and a web link thereto shall also be given in the Annual Report. </w:t>
      </w:r>
    </w:p>
    <w:p w:rsidR="0004304B" w:rsidRPr="00B05E45" w:rsidRDefault="0004304B" w:rsidP="008802F5">
      <w:pPr>
        <w:pStyle w:val="Default"/>
        <w:jc w:val="both"/>
        <w:rPr>
          <w:rFonts w:ascii="Times New Roman" w:hAnsi="Times New Roman" w:cs="Times New Roman"/>
        </w:rPr>
      </w:pPr>
    </w:p>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b/>
          <w:bCs/>
        </w:rPr>
        <w:t xml:space="preserve">2. Administration: </w:t>
      </w:r>
    </w:p>
    <w:p w:rsidR="0004304B" w:rsidRPr="00B05E45" w:rsidRDefault="0004304B" w:rsidP="008802F5">
      <w:pPr>
        <w:pStyle w:val="Default"/>
        <w:jc w:val="both"/>
        <w:rPr>
          <w:rFonts w:ascii="Times New Roman" w:hAnsi="Times New Roman" w:cs="Times New Roman"/>
        </w:rPr>
      </w:pPr>
    </w:p>
    <w:p w:rsidR="0004304B" w:rsidRDefault="0004304B" w:rsidP="008802F5">
      <w:pPr>
        <w:pStyle w:val="Default"/>
        <w:jc w:val="both"/>
        <w:rPr>
          <w:rFonts w:ascii="Times New Roman" w:hAnsi="Times New Roman" w:cs="Times New Roman"/>
        </w:rPr>
      </w:pPr>
      <w:r w:rsidRPr="00B05E45">
        <w:rPr>
          <w:rFonts w:ascii="Times New Roman" w:hAnsi="Times New Roman" w:cs="Times New Roman"/>
        </w:rPr>
        <w:t xml:space="preserve">The Familiarization program for Independent Directors will be monitored and administered by Nomination and Remuneration Committee. </w:t>
      </w:r>
    </w:p>
    <w:p w:rsidR="008802F5" w:rsidRPr="00B05E45" w:rsidRDefault="008802F5" w:rsidP="008802F5">
      <w:pPr>
        <w:pStyle w:val="Default"/>
        <w:jc w:val="both"/>
        <w:rPr>
          <w:rFonts w:ascii="Times New Roman" w:hAnsi="Times New Roman" w:cs="Times New Roman"/>
        </w:rPr>
      </w:pPr>
    </w:p>
    <w:p w:rsidR="0004304B" w:rsidRDefault="0004304B" w:rsidP="008802F5">
      <w:pPr>
        <w:pStyle w:val="Default"/>
        <w:jc w:val="both"/>
        <w:rPr>
          <w:rFonts w:ascii="Times New Roman" w:hAnsi="Times New Roman" w:cs="Times New Roman"/>
          <w:b/>
          <w:bCs/>
        </w:rPr>
      </w:pPr>
      <w:r w:rsidRPr="00B05E45">
        <w:rPr>
          <w:rFonts w:ascii="Times New Roman" w:hAnsi="Times New Roman" w:cs="Times New Roman"/>
          <w:b/>
          <w:bCs/>
        </w:rPr>
        <w:t xml:space="preserve">3. Familiarization module for Independent Directors: </w:t>
      </w:r>
    </w:p>
    <w:p w:rsidR="00316DB3" w:rsidRPr="00B05E45" w:rsidRDefault="00316DB3" w:rsidP="008802F5">
      <w:pPr>
        <w:pStyle w:val="Default"/>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9"/>
        <w:gridCol w:w="3778"/>
        <w:gridCol w:w="2475"/>
      </w:tblGrid>
      <w:tr w:rsidR="0004304B" w:rsidRPr="00B05E45" w:rsidTr="006C0B24">
        <w:tblPrEx>
          <w:tblCellMar>
            <w:top w:w="0" w:type="dxa"/>
            <w:bottom w:w="0" w:type="dxa"/>
          </w:tblCellMar>
        </w:tblPrEx>
        <w:trPr>
          <w:trHeight w:val="398"/>
        </w:trPr>
        <w:tc>
          <w:tcPr>
            <w:tcW w:w="1617" w:type="pct"/>
          </w:tcPr>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b/>
                <w:bCs/>
              </w:rPr>
              <w:t xml:space="preserve">Objective </w:t>
            </w:r>
          </w:p>
        </w:tc>
        <w:tc>
          <w:tcPr>
            <w:tcW w:w="3383" w:type="pct"/>
            <w:gridSpan w:val="2"/>
          </w:tcPr>
          <w:p w:rsidR="0004304B" w:rsidRPr="00B05E45" w:rsidRDefault="0004304B" w:rsidP="008802F5">
            <w:pPr>
              <w:pStyle w:val="Default"/>
              <w:jc w:val="both"/>
              <w:rPr>
                <w:rFonts w:ascii="Times New Roman" w:hAnsi="Times New Roman" w:cs="Times New Roman"/>
              </w:rPr>
            </w:pPr>
            <w:r w:rsidRPr="00B05E45">
              <w:rPr>
                <w:rFonts w:ascii="Times New Roman" w:hAnsi="Times New Roman" w:cs="Times New Roman"/>
              </w:rPr>
              <w:t xml:space="preserve">The Company will follow a structured orientation programme for the Independent Directors to understand and get updated on the business and operations of the Company on a continuous basis </w:t>
            </w:r>
          </w:p>
        </w:tc>
      </w:tr>
      <w:tr w:rsidR="00365BEE" w:rsidRPr="00B05E45" w:rsidTr="00F44199">
        <w:tblPrEx>
          <w:tblCellMar>
            <w:top w:w="0" w:type="dxa"/>
            <w:bottom w:w="0" w:type="dxa"/>
          </w:tblCellMar>
        </w:tblPrEx>
        <w:trPr>
          <w:trHeight w:val="638"/>
        </w:trPr>
        <w:tc>
          <w:tcPr>
            <w:tcW w:w="1617" w:type="pct"/>
            <w:vMerge w:val="restar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b/>
                <w:bCs/>
              </w:rPr>
              <w:t xml:space="preserve">Familiarization module for </w:t>
            </w:r>
          </w:p>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b/>
                <w:bCs/>
              </w:rPr>
              <w:t xml:space="preserve">Independent Directors </w:t>
            </w:r>
          </w:p>
        </w:tc>
        <w:tc>
          <w:tcPr>
            <w:tcW w:w="2044" w:type="pc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rPr>
              <w:t xml:space="preserve">Overview of Industry and business model of the Company </w:t>
            </w:r>
          </w:p>
        </w:tc>
        <w:tc>
          <w:tcPr>
            <w:tcW w:w="1338" w:type="pct"/>
            <w:vMerge w:val="restar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b/>
                <w:bCs/>
              </w:rPr>
              <w:t xml:space="preserve">Managing Director / CEO to organise </w:t>
            </w:r>
          </w:p>
        </w:tc>
      </w:tr>
      <w:tr w:rsidR="00365BEE" w:rsidRPr="00B05E45" w:rsidTr="00F44199">
        <w:tblPrEx>
          <w:tblCellMar>
            <w:top w:w="0" w:type="dxa"/>
            <w:bottom w:w="0" w:type="dxa"/>
          </w:tblCellMar>
        </w:tblPrEx>
        <w:trPr>
          <w:trHeight w:val="440"/>
        </w:trPr>
        <w:tc>
          <w:tcPr>
            <w:tcW w:w="1617" w:type="pct"/>
            <w:vMerge/>
          </w:tcPr>
          <w:p w:rsidR="00365BEE" w:rsidRPr="00B05E45" w:rsidRDefault="00365BEE" w:rsidP="008802F5">
            <w:pPr>
              <w:pStyle w:val="Default"/>
              <w:jc w:val="both"/>
              <w:rPr>
                <w:rFonts w:ascii="Times New Roman" w:hAnsi="Times New Roman" w:cs="Times New Roman"/>
                <w:b/>
                <w:bCs/>
              </w:rPr>
            </w:pPr>
          </w:p>
        </w:tc>
        <w:tc>
          <w:tcPr>
            <w:tcW w:w="2044" w:type="pc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rPr>
              <w:t>Operations Overview</w:t>
            </w:r>
          </w:p>
        </w:tc>
        <w:tc>
          <w:tcPr>
            <w:tcW w:w="1338" w:type="pct"/>
            <w:vMerge/>
          </w:tcPr>
          <w:p w:rsidR="00365BEE" w:rsidRPr="00B05E45" w:rsidRDefault="00365BEE" w:rsidP="008802F5">
            <w:pPr>
              <w:pStyle w:val="Default"/>
              <w:jc w:val="both"/>
              <w:rPr>
                <w:rFonts w:ascii="Times New Roman" w:hAnsi="Times New Roman" w:cs="Times New Roman"/>
                <w:b/>
                <w:bCs/>
              </w:rPr>
            </w:pPr>
          </w:p>
        </w:tc>
      </w:tr>
      <w:tr w:rsidR="00365BEE" w:rsidRPr="00B05E45" w:rsidTr="00F44199">
        <w:tblPrEx>
          <w:tblCellMar>
            <w:top w:w="0" w:type="dxa"/>
            <w:bottom w:w="0" w:type="dxa"/>
          </w:tblCellMar>
        </w:tblPrEx>
        <w:trPr>
          <w:trHeight w:val="620"/>
        </w:trPr>
        <w:tc>
          <w:tcPr>
            <w:tcW w:w="1617" w:type="pct"/>
            <w:vMerge/>
          </w:tcPr>
          <w:p w:rsidR="00365BEE" w:rsidRPr="00B05E45" w:rsidRDefault="00365BEE" w:rsidP="008802F5">
            <w:pPr>
              <w:pStyle w:val="Default"/>
              <w:jc w:val="both"/>
              <w:rPr>
                <w:rFonts w:ascii="Times New Roman" w:hAnsi="Times New Roman" w:cs="Times New Roman"/>
                <w:b/>
                <w:bCs/>
              </w:rPr>
            </w:pPr>
          </w:p>
        </w:tc>
        <w:tc>
          <w:tcPr>
            <w:tcW w:w="2044" w:type="pc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rPr>
              <w:t>Financial Performance and Budget &amp;</w:t>
            </w:r>
            <w:r w:rsidR="00F44199">
              <w:rPr>
                <w:rFonts w:ascii="Times New Roman" w:hAnsi="Times New Roman" w:cs="Times New Roman"/>
              </w:rPr>
              <w:t xml:space="preserve"> </w:t>
            </w:r>
            <w:r w:rsidRPr="00B05E45">
              <w:rPr>
                <w:rFonts w:ascii="Times New Roman" w:hAnsi="Times New Roman" w:cs="Times New Roman"/>
              </w:rPr>
              <w:t xml:space="preserve"> Control processes</w:t>
            </w:r>
          </w:p>
        </w:tc>
        <w:tc>
          <w:tcPr>
            <w:tcW w:w="1338" w:type="pct"/>
            <w:vMerge/>
          </w:tcPr>
          <w:p w:rsidR="00365BEE" w:rsidRPr="00B05E45" w:rsidRDefault="00365BEE" w:rsidP="008802F5">
            <w:pPr>
              <w:pStyle w:val="Default"/>
              <w:jc w:val="both"/>
              <w:rPr>
                <w:rFonts w:ascii="Times New Roman" w:hAnsi="Times New Roman" w:cs="Times New Roman"/>
                <w:b/>
                <w:bCs/>
              </w:rPr>
            </w:pPr>
          </w:p>
        </w:tc>
      </w:tr>
      <w:tr w:rsidR="00365BEE" w:rsidRPr="00B05E45" w:rsidTr="00F44199">
        <w:tblPrEx>
          <w:tblCellMar>
            <w:top w:w="0" w:type="dxa"/>
            <w:bottom w:w="0" w:type="dxa"/>
          </w:tblCellMar>
        </w:tblPrEx>
        <w:trPr>
          <w:trHeight w:val="350"/>
        </w:trPr>
        <w:tc>
          <w:tcPr>
            <w:tcW w:w="1617" w:type="pct"/>
            <w:vMerge/>
          </w:tcPr>
          <w:p w:rsidR="00365BEE" w:rsidRPr="00B05E45" w:rsidRDefault="00365BEE" w:rsidP="008802F5">
            <w:pPr>
              <w:pStyle w:val="Default"/>
              <w:jc w:val="both"/>
              <w:rPr>
                <w:rFonts w:ascii="Times New Roman" w:hAnsi="Times New Roman" w:cs="Times New Roman"/>
                <w:b/>
                <w:bCs/>
              </w:rPr>
            </w:pPr>
          </w:p>
        </w:tc>
        <w:tc>
          <w:tcPr>
            <w:tcW w:w="2044" w:type="pct"/>
          </w:tcPr>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rPr>
              <w:t>Overview of Sales and Marketing</w:t>
            </w:r>
          </w:p>
        </w:tc>
        <w:tc>
          <w:tcPr>
            <w:tcW w:w="1338" w:type="pct"/>
            <w:vMerge/>
          </w:tcPr>
          <w:p w:rsidR="00365BEE" w:rsidRPr="00B05E45" w:rsidRDefault="00365BEE" w:rsidP="008802F5">
            <w:pPr>
              <w:pStyle w:val="Default"/>
              <w:jc w:val="both"/>
              <w:rPr>
                <w:rFonts w:ascii="Times New Roman" w:hAnsi="Times New Roman" w:cs="Times New Roman"/>
                <w:b/>
                <w:bCs/>
              </w:rPr>
            </w:pPr>
          </w:p>
        </w:tc>
      </w:tr>
      <w:tr w:rsidR="00365BEE" w:rsidRPr="00B05E45" w:rsidTr="00F44199">
        <w:tblPrEx>
          <w:tblCellMar>
            <w:top w:w="0" w:type="dxa"/>
            <w:bottom w:w="0" w:type="dxa"/>
          </w:tblCellMar>
        </w:tblPrEx>
        <w:trPr>
          <w:trHeight w:val="1274"/>
        </w:trPr>
        <w:tc>
          <w:tcPr>
            <w:tcW w:w="1617" w:type="pct"/>
            <w:vMerge/>
          </w:tcPr>
          <w:p w:rsidR="00365BEE" w:rsidRPr="00B05E45" w:rsidRDefault="00365BEE" w:rsidP="008802F5">
            <w:pPr>
              <w:pStyle w:val="Default"/>
              <w:jc w:val="both"/>
              <w:rPr>
                <w:rFonts w:ascii="Times New Roman" w:hAnsi="Times New Roman" w:cs="Times New Roman"/>
                <w:b/>
                <w:bCs/>
              </w:rPr>
            </w:pPr>
          </w:p>
        </w:tc>
        <w:tc>
          <w:tcPr>
            <w:tcW w:w="2044" w:type="pct"/>
          </w:tcPr>
          <w:p w:rsidR="00365BEE" w:rsidRDefault="00365BEE" w:rsidP="008802F5">
            <w:pPr>
              <w:pStyle w:val="Default"/>
              <w:jc w:val="both"/>
              <w:rPr>
                <w:rFonts w:ascii="Times New Roman" w:hAnsi="Times New Roman" w:cs="Times New Roman"/>
              </w:rPr>
            </w:pPr>
            <w:r w:rsidRPr="00B05E45">
              <w:rPr>
                <w:rFonts w:ascii="Times New Roman" w:hAnsi="Times New Roman" w:cs="Times New Roman"/>
              </w:rPr>
              <w:t xml:space="preserve">Familiarisation on Statutory compliances including their roles, rights and responsibilities in the </w:t>
            </w:r>
          </w:p>
          <w:p w:rsidR="00365BEE" w:rsidRPr="00B05E45" w:rsidRDefault="00365BEE" w:rsidP="008802F5">
            <w:pPr>
              <w:pStyle w:val="Default"/>
              <w:jc w:val="both"/>
              <w:rPr>
                <w:rFonts w:ascii="Times New Roman" w:hAnsi="Times New Roman" w:cs="Times New Roman"/>
              </w:rPr>
            </w:pPr>
            <w:r w:rsidRPr="00B05E45">
              <w:rPr>
                <w:rFonts w:ascii="Times New Roman" w:hAnsi="Times New Roman" w:cs="Times New Roman"/>
              </w:rPr>
              <w:t>Company as a Board Member</w:t>
            </w:r>
          </w:p>
        </w:tc>
        <w:tc>
          <w:tcPr>
            <w:tcW w:w="1338" w:type="pct"/>
            <w:vMerge/>
          </w:tcPr>
          <w:p w:rsidR="00365BEE" w:rsidRPr="00B05E45" w:rsidRDefault="00365BEE" w:rsidP="008802F5">
            <w:pPr>
              <w:pStyle w:val="Default"/>
              <w:jc w:val="both"/>
              <w:rPr>
                <w:rFonts w:ascii="Times New Roman" w:hAnsi="Times New Roman" w:cs="Times New Roman"/>
                <w:b/>
                <w:bCs/>
              </w:rPr>
            </w:pPr>
          </w:p>
        </w:tc>
      </w:tr>
    </w:tbl>
    <w:p w:rsidR="00891888" w:rsidRDefault="00891888" w:rsidP="008802F5">
      <w:pPr>
        <w:pStyle w:val="Default"/>
        <w:jc w:val="both"/>
      </w:pPr>
      <w:r>
        <w:t xml:space="preserve"> </w:t>
      </w:r>
    </w:p>
    <w:p w:rsidR="00891888" w:rsidRDefault="00891888" w:rsidP="008802F5">
      <w:pPr>
        <w:pStyle w:val="Default"/>
        <w:jc w:val="both"/>
        <w:rPr>
          <w:sz w:val="23"/>
          <w:szCs w:val="23"/>
        </w:rPr>
      </w:pPr>
      <w:r>
        <w:rPr>
          <w:b/>
          <w:bCs/>
          <w:sz w:val="23"/>
          <w:szCs w:val="23"/>
        </w:rPr>
        <w:t xml:space="preserve">4. Details: </w:t>
      </w:r>
    </w:p>
    <w:p w:rsidR="00891888" w:rsidRDefault="00891888" w:rsidP="008802F5">
      <w:pPr>
        <w:pStyle w:val="Default"/>
        <w:jc w:val="both"/>
        <w:rPr>
          <w:sz w:val="23"/>
          <w:szCs w:val="23"/>
        </w:rPr>
      </w:pPr>
    </w:p>
    <w:p w:rsidR="00891888" w:rsidRDefault="00891888" w:rsidP="008802F5">
      <w:pPr>
        <w:pStyle w:val="Default"/>
        <w:jc w:val="both"/>
        <w:rPr>
          <w:sz w:val="23"/>
          <w:szCs w:val="23"/>
        </w:rPr>
      </w:pPr>
      <w:r>
        <w:rPr>
          <w:sz w:val="23"/>
          <w:szCs w:val="23"/>
        </w:rPr>
        <w:t>a) Familiarization Programme will be conducted during 3</w:t>
      </w:r>
      <w:r>
        <w:rPr>
          <w:sz w:val="16"/>
          <w:szCs w:val="16"/>
        </w:rPr>
        <w:t xml:space="preserve">rd </w:t>
      </w:r>
      <w:r>
        <w:rPr>
          <w:sz w:val="23"/>
          <w:szCs w:val="23"/>
        </w:rPr>
        <w:t xml:space="preserve">quarter of the year. </w:t>
      </w:r>
    </w:p>
    <w:p w:rsidR="00F44199" w:rsidRDefault="00F44199" w:rsidP="008802F5">
      <w:pPr>
        <w:pStyle w:val="Default"/>
        <w:jc w:val="both"/>
        <w:rPr>
          <w:sz w:val="23"/>
          <w:szCs w:val="23"/>
        </w:rPr>
      </w:pPr>
    </w:p>
    <w:p w:rsidR="00891888" w:rsidRDefault="00891888" w:rsidP="008802F5">
      <w:pPr>
        <w:pStyle w:val="Default"/>
        <w:jc w:val="both"/>
        <w:rPr>
          <w:sz w:val="23"/>
          <w:szCs w:val="23"/>
        </w:rPr>
      </w:pPr>
      <w:r>
        <w:rPr>
          <w:sz w:val="23"/>
          <w:szCs w:val="23"/>
        </w:rPr>
        <w:t xml:space="preserve">b) As and when Familiarization Programme is conducted, the same will be disclosed on the website of the Company and a </w:t>
      </w:r>
      <w:r w:rsidR="008802F5">
        <w:rPr>
          <w:sz w:val="23"/>
          <w:szCs w:val="23"/>
        </w:rPr>
        <w:t>web link</w:t>
      </w:r>
      <w:r>
        <w:rPr>
          <w:sz w:val="23"/>
          <w:szCs w:val="23"/>
        </w:rPr>
        <w:t xml:space="preserve"> thereto shall be given in the Annual Report of the Company. </w:t>
      </w:r>
    </w:p>
    <w:p w:rsidR="008307B7" w:rsidRDefault="008307B7" w:rsidP="008802F5">
      <w:pPr>
        <w:jc w:val="both"/>
        <w:rPr>
          <w:b/>
          <w:bCs/>
          <w:sz w:val="23"/>
          <w:szCs w:val="23"/>
        </w:rPr>
      </w:pPr>
    </w:p>
    <w:p w:rsidR="004133B6" w:rsidRPr="00B05E45" w:rsidRDefault="00891888" w:rsidP="008802F5">
      <w:pPr>
        <w:jc w:val="center"/>
        <w:rPr>
          <w:rFonts w:ascii="Times New Roman" w:hAnsi="Times New Roman" w:cs="Times New Roman"/>
          <w:sz w:val="24"/>
          <w:szCs w:val="24"/>
        </w:rPr>
      </w:pPr>
      <w:r>
        <w:rPr>
          <w:b/>
          <w:bCs/>
          <w:sz w:val="23"/>
          <w:szCs w:val="23"/>
        </w:rPr>
        <w:t>*-*-*-*-</w:t>
      </w:r>
    </w:p>
    <w:sectPr w:rsidR="004133B6" w:rsidRPr="00B05E4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304B"/>
    <w:rsid w:val="0004304B"/>
    <w:rsid w:val="001A1D8E"/>
    <w:rsid w:val="00316DB3"/>
    <w:rsid w:val="00365BEE"/>
    <w:rsid w:val="004133B6"/>
    <w:rsid w:val="006C0B24"/>
    <w:rsid w:val="008307B7"/>
    <w:rsid w:val="008802F5"/>
    <w:rsid w:val="00891888"/>
    <w:rsid w:val="00950548"/>
    <w:rsid w:val="00B05E45"/>
    <w:rsid w:val="00E27586"/>
    <w:rsid w:val="00F4419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0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dc:creator>
  <cp:keywords/>
  <dc:description/>
  <cp:lastModifiedBy>Mall</cp:lastModifiedBy>
  <cp:revision>2</cp:revision>
  <dcterms:created xsi:type="dcterms:W3CDTF">2015-01-21T09:58:00Z</dcterms:created>
  <dcterms:modified xsi:type="dcterms:W3CDTF">2015-01-21T10:16:00Z</dcterms:modified>
</cp:coreProperties>
</file>